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ayout w:type="fixed"/>
        <w:tblLook w:val="04A0" w:firstRow="1" w:lastRow="0" w:firstColumn="1" w:lastColumn="0" w:noHBand="0" w:noVBand="1"/>
      </w:tblPr>
      <w:tblGrid>
        <w:gridCol w:w="4389"/>
        <w:gridCol w:w="4389"/>
        <w:gridCol w:w="4389"/>
      </w:tblGrid>
      <w:tr w:rsidR="00FD37D4" w14:paraId="09D6F0AD" w14:textId="77777777" w:rsidTr="00FD37D4">
        <w:trPr>
          <w:tblHeader/>
        </w:trPr>
        <w:tc>
          <w:tcPr>
            <w:tcW w:w="4389" w:type="dxa"/>
          </w:tcPr>
          <w:p w14:paraId="063B23CA" w14:textId="13370560" w:rsidR="00FD37D4" w:rsidRPr="00097B81" w:rsidRDefault="00FD37D4" w:rsidP="00FD37D4">
            <w:pPr>
              <w:jc w:val="center"/>
              <w:rPr>
                <w:rFonts w:ascii="Arial" w:eastAsia="Times New Roman" w:hAnsi="Arial" w:cs="Arial"/>
                <w:b/>
                <w:bCs/>
                <w:color w:val="333333"/>
                <w:lang w:eastAsia="es-MX"/>
              </w:rPr>
            </w:pPr>
            <w:bookmarkStart w:id="0" w:name="_GoBack"/>
            <w:bookmarkEnd w:id="0"/>
            <w:r>
              <w:rPr>
                <w:rFonts w:ascii="Arial" w:eastAsia="Times New Roman" w:hAnsi="Arial" w:cs="Arial"/>
                <w:b/>
                <w:bCs/>
                <w:color w:val="333333"/>
                <w:lang w:eastAsia="es-MX"/>
              </w:rPr>
              <w:t>Contenido Decreto 806 de 2020</w:t>
            </w:r>
          </w:p>
        </w:tc>
        <w:tc>
          <w:tcPr>
            <w:tcW w:w="4389" w:type="dxa"/>
          </w:tcPr>
          <w:p w14:paraId="25D8B28F" w14:textId="1A0F157B" w:rsidR="00FD37D4" w:rsidRPr="00FD37D4" w:rsidRDefault="00FD37D4" w:rsidP="00FD37D4">
            <w:pPr>
              <w:jc w:val="center"/>
              <w:rPr>
                <w:b/>
                <w:bCs/>
              </w:rPr>
            </w:pPr>
            <w:r w:rsidRPr="00FD37D4">
              <w:rPr>
                <w:b/>
                <w:bCs/>
              </w:rPr>
              <w:t>Comentarios</w:t>
            </w:r>
          </w:p>
        </w:tc>
        <w:tc>
          <w:tcPr>
            <w:tcW w:w="4389" w:type="dxa"/>
          </w:tcPr>
          <w:p w14:paraId="0546D7F1" w14:textId="5A19E80F" w:rsidR="00FD37D4" w:rsidRPr="00FD37D4" w:rsidRDefault="00FD37D4" w:rsidP="00FD37D4">
            <w:pPr>
              <w:jc w:val="center"/>
              <w:rPr>
                <w:b/>
                <w:bCs/>
              </w:rPr>
            </w:pPr>
            <w:r w:rsidRPr="00FD37D4">
              <w:rPr>
                <w:b/>
                <w:bCs/>
              </w:rPr>
              <w:t>Norma propuesta</w:t>
            </w:r>
          </w:p>
        </w:tc>
      </w:tr>
      <w:tr w:rsidR="00FD37D4" w14:paraId="2BD01ACD" w14:textId="77777777" w:rsidTr="00FD37D4">
        <w:tc>
          <w:tcPr>
            <w:tcW w:w="4389" w:type="dxa"/>
          </w:tcPr>
          <w:p w14:paraId="440C9610"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b/>
                <w:bCs/>
                <w:color w:val="333333"/>
                <w:lang w:eastAsia="es-MX"/>
              </w:rPr>
              <w:t>Artículo 1. Objeto.</w:t>
            </w:r>
            <w:r w:rsidRPr="00097B81">
              <w:rPr>
                <w:rFonts w:ascii="Arial" w:eastAsia="Times New Roman" w:hAnsi="Arial" w:cs="Arial"/>
                <w:color w:val="333333"/>
                <w:lang w:eastAsia="es-MX"/>
              </w:rPr>
              <w:t> Este decreto tiene por objeto implementar el uso de las tecnologías de la información y las comunicaciones en las actuaciones judiciales y agilizar el trámite de los procesos judiciales ante la jurisdicción ordinaria en las especialidades civil, laboral, familia, jurisdicción de lo contencioso administrativo, jurisdicción constitucional y disciplinaria, así como, las actuaciones de las autoridades administrativas que ejerzan funciones jurisdiccionales y en los procesos arbitrales, durante el término de vigencia del presente decreto. Adicionalmente, este decreto pretende flexibilizar la atención a los usuarios del servicio de justicia y contribuir a la pronta reactivación de las actividades económicas que dependen de este.</w:t>
            </w:r>
          </w:p>
          <w:p w14:paraId="31E5B93B"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54FFE8F8"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b/>
                <w:bCs/>
                <w:color w:val="333333"/>
                <w:lang w:eastAsia="es-MX"/>
              </w:rPr>
              <w:t>Parágrafo.</w:t>
            </w:r>
            <w:r w:rsidRPr="00097B81">
              <w:rPr>
                <w:rFonts w:ascii="Arial" w:eastAsia="Times New Roman" w:hAnsi="Arial" w:cs="Arial"/>
                <w:color w:val="333333"/>
                <w:lang w:eastAsia="es-MX"/>
              </w:rPr>
              <w:t> En aquellos eventos en que los sujetos procesales o la autoridad judicial no cuenten con los medios tecnológicos para cumplir con las medidas establecidas en el presente decreto o no sea necesario acudir a aquellas, se deberá prestar el servicio de forma presencial, siempre que sea posible y se ajuste a las disposiciones que sobre el particular dicten el Ministerio de Salud y Protección Social, el Consejo Superior de la Judicatura, los Centros de Arbitraje y las entidades con funciones jurisdiccionales.</w:t>
            </w:r>
          </w:p>
          <w:p w14:paraId="78995871"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2DE2EBE6"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lastRenderedPageBreak/>
              <w:t>Los sujetos procesales y la autoridad judicial competente deberán manifestar las razones por las cuales no pueden realizar una actuación judicial específica a través de las tecnologías de la información y las comunicaciones de lo cual se dejará constancia en el expediente y se realizará de manera presencial en los términos del inciso anterior.</w:t>
            </w:r>
          </w:p>
          <w:p w14:paraId="2F7E3192" w14:textId="77777777" w:rsidR="00FD37D4" w:rsidRDefault="00FD37D4" w:rsidP="00484704"/>
        </w:tc>
        <w:tc>
          <w:tcPr>
            <w:tcW w:w="4389" w:type="dxa"/>
          </w:tcPr>
          <w:p w14:paraId="09525DEE" w14:textId="77777777" w:rsidR="00FD37D4" w:rsidRDefault="00FD37D4" w:rsidP="00484704"/>
          <w:p w14:paraId="174068DC" w14:textId="5DEDDD5F" w:rsidR="00FD37D4" w:rsidRDefault="00FD37D4" w:rsidP="00484704"/>
        </w:tc>
        <w:tc>
          <w:tcPr>
            <w:tcW w:w="4389" w:type="dxa"/>
          </w:tcPr>
          <w:p w14:paraId="1D0389F4" w14:textId="77777777" w:rsidR="00FD37D4" w:rsidRDefault="00FD37D4" w:rsidP="00484704"/>
        </w:tc>
      </w:tr>
      <w:tr w:rsidR="00FD37D4" w14:paraId="37DD5D46" w14:textId="77777777" w:rsidTr="00FD37D4">
        <w:tc>
          <w:tcPr>
            <w:tcW w:w="4389" w:type="dxa"/>
          </w:tcPr>
          <w:p w14:paraId="4FE04346"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b/>
                <w:bCs/>
                <w:color w:val="333333"/>
                <w:lang w:eastAsia="es-MX"/>
              </w:rPr>
              <w:lastRenderedPageBreak/>
              <w:t>Artículo 2. Uso de las tecnologías de la información y las comunicaciones.</w:t>
            </w:r>
            <w:r w:rsidRPr="00097B81">
              <w:rPr>
                <w:rFonts w:ascii="Arial" w:eastAsia="Times New Roman" w:hAnsi="Arial" w:cs="Arial"/>
                <w:color w:val="333333"/>
                <w:lang w:eastAsia="es-MX"/>
              </w:rPr>
              <w:t> Se deberán utilizar las tecnologías de la información y de las comunicaciones en la gestión y trámite de los procesos judiciales y asuntos en curso, con el fin de facilitar y agilizar el acceso a la justicia, como también proteger a los servidores judiciales, como a los usuarios de este servicio público.</w:t>
            </w:r>
          </w:p>
          <w:p w14:paraId="6981A281"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2D44130B"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Se utilizarán los medios tecnológicos para todas las actuaciones, audiencias y diligencias y se permitirá a los sujetos procesales actuar en los procesos o trámites a través de los medios digitales disponibles, evitando exigir y cumplir formalidades presenciales o similares, que no sean estrictamente necesarias. Por tanto, las actuaciones no requerirán de firmas manuscritas o digitales, presentaciones personales o autenticaciones adicionales, ni incorporarse o presentarse en medios físicos.</w:t>
            </w:r>
          </w:p>
          <w:p w14:paraId="279B6138"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0EED5B1E"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lastRenderedPageBreak/>
              <w:t>Las autoridades judiciales darán a conocer en su página web los canales oficiales de comunicación e información mediante los cuales prestarán su servicio, así como los mecanismos tecnológicos que emplearán.</w:t>
            </w:r>
          </w:p>
          <w:p w14:paraId="42CD4319"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5793EE92"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En aplicación de los convenios y tratados internacionales se prestará especial atención a las poblaciones rurales y remotas, así como a los grupos étnicos y personas con discapacidad que enfrentan barreras para el acceso a las tecnologías de la información y las comunicaciones, para asegurar que se apliquen criterios de accesibilidad y se establezca si se requiere algún ajuste razonable que garantice el derecho a la administración de justicia en igualdad de condiciones con las demás personas.</w:t>
            </w:r>
          </w:p>
          <w:p w14:paraId="613444BB"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b/>
                <w:bCs/>
                <w:color w:val="333333"/>
                <w:lang w:eastAsia="es-MX"/>
              </w:rPr>
              <w:t> </w:t>
            </w:r>
          </w:p>
          <w:p w14:paraId="2D3DB724"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b/>
                <w:bCs/>
                <w:color w:val="333333"/>
                <w:lang w:eastAsia="es-MX"/>
              </w:rPr>
              <w:t>Parágrafo 1.</w:t>
            </w:r>
            <w:r w:rsidRPr="00097B81">
              <w:rPr>
                <w:rFonts w:ascii="Arial" w:eastAsia="Times New Roman" w:hAnsi="Arial" w:cs="Arial"/>
                <w:color w:val="333333"/>
                <w:lang w:eastAsia="es-MX"/>
              </w:rPr>
              <w:t> Se adoptarán todas las medidas para garantizar el debido proceso, la publicidad y el derecho de contradicción en la aplicación de las tecnologías de la información y de las comunicaciones. Para el efecto, las autoridades judiciales procurarán la efectiva comunicación virtual con los usuarios de la administración de justicia y adoptarán las medidas pertinentes para que puedan conocer las decisiones y ejercer sus derechos.</w:t>
            </w:r>
          </w:p>
          <w:p w14:paraId="33A7A790"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b/>
                <w:bCs/>
                <w:color w:val="333333"/>
                <w:lang w:eastAsia="es-MX"/>
              </w:rPr>
              <w:t> </w:t>
            </w:r>
          </w:p>
          <w:p w14:paraId="41D3FDBA"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b/>
                <w:bCs/>
                <w:color w:val="333333"/>
                <w:lang w:eastAsia="es-MX"/>
              </w:rPr>
              <w:t>Parágrafo 2</w:t>
            </w:r>
            <w:r w:rsidRPr="00097B81">
              <w:rPr>
                <w:rFonts w:ascii="Arial" w:eastAsia="Times New Roman" w:hAnsi="Arial" w:cs="Arial"/>
                <w:color w:val="333333"/>
                <w:lang w:eastAsia="es-MX"/>
              </w:rPr>
              <w:t xml:space="preserve">. Los municipios, personerías y otras entidades públicas, </w:t>
            </w:r>
            <w:r w:rsidRPr="00097B81">
              <w:rPr>
                <w:rFonts w:ascii="Arial" w:eastAsia="Times New Roman" w:hAnsi="Arial" w:cs="Arial"/>
                <w:color w:val="333333"/>
                <w:lang w:eastAsia="es-MX"/>
              </w:rPr>
              <w:lastRenderedPageBreak/>
              <w:t>en la medida de sus posibilidades, facilitarán que los sujetos procesales puedan acceder en sus sedes a las actuaciones virtuales.</w:t>
            </w:r>
          </w:p>
          <w:p w14:paraId="401D3465"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b/>
                <w:bCs/>
                <w:color w:val="333333"/>
                <w:lang w:eastAsia="es-MX"/>
              </w:rPr>
              <w:t>Artículo 3. Deberes de los sujetos procesales en relación con las tecnologías de la información y las comunicaciones.</w:t>
            </w:r>
            <w:r w:rsidRPr="00097B81">
              <w:rPr>
                <w:rFonts w:ascii="Arial" w:eastAsia="Times New Roman" w:hAnsi="Arial" w:cs="Arial"/>
                <w:color w:val="333333"/>
                <w:lang w:eastAsia="es-MX"/>
              </w:rPr>
              <w:t> Es deber de los sujetos procesales realizar sus actuaciones y asistir a las audiencias y diligencias a través de medios tecnológicos. Para el efecto deberán suministrar a la autoridad judicial competente, y a todos los demás sujetos procesales, los canales digitales elegidos para los fines del proceso o trámite y enviar a través de estos un ejemplar de todos los memoriales o actuaciones que realicen, simultáneamente con copia incorporada al mensaje enviado a la autoridad judicial.</w:t>
            </w:r>
          </w:p>
          <w:p w14:paraId="3B6FEE18"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500DDBAB"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Identificados los canales digitales elegidos, desde allí se originarán todas las actuaciones y desde estos se surtirán todas las notificaciones, mientras no se informe un nuevo canal. Es deber de los sujetos procesales, en desarrollo de lo previsto en el artículo 78 numeral </w:t>
            </w:r>
            <w:hyperlink r:id="rId7" w:anchor="78.n.5" w:history="1">
              <w:r w:rsidRPr="00097B81">
                <w:rPr>
                  <w:rFonts w:ascii="Arial" w:eastAsia="Times New Roman" w:hAnsi="Arial" w:cs="Arial"/>
                  <w:color w:val="0000FF"/>
                  <w:u w:val="single"/>
                  <w:lang w:eastAsia="es-MX"/>
                </w:rPr>
                <w:t>5</w:t>
              </w:r>
            </w:hyperlink>
            <w:r w:rsidRPr="00097B81">
              <w:rPr>
                <w:rFonts w:ascii="Arial" w:eastAsia="Times New Roman" w:hAnsi="Arial" w:cs="Arial"/>
                <w:color w:val="333333"/>
                <w:lang w:eastAsia="es-MX"/>
              </w:rPr>
              <w:t> del Código General del Proceso, comunicar cualquier cambio de dirección o medio electrónico, so pena de que las notificaciones se sigan surtiendo válidamente en la anterior.</w:t>
            </w:r>
          </w:p>
          <w:p w14:paraId="3EB11DDE"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2BD392F5"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xml:space="preserve">Todos los sujetos procesales cumplirán los deberes constitucionales y legales </w:t>
            </w:r>
            <w:r w:rsidRPr="00097B81">
              <w:rPr>
                <w:rFonts w:ascii="Arial" w:eastAsia="Times New Roman" w:hAnsi="Arial" w:cs="Arial"/>
                <w:color w:val="333333"/>
                <w:lang w:eastAsia="es-MX"/>
              </w:rPr>
              <w:lastRenderedPageBreak/>
              <w:t>para colaborar solidariamente con la buena marcha del servicio público de administración de justicia. La autoridad judicial competente adoptará las medidas necesarias para garantizar su cumplimiento.</w:t>
            </w:r>
          </w:p>
          <w:p w14:paraId="6EB99B84"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69A0F70C" w14:textId="77777777" w:rsidR="00FD37D4" w:rsidRDefault="00FD37D4" w:rsidP="00484704"/>
        </w:tc>
        <w:tc>
          <w:tcPr>
            <w:tcW w:w="4389" w:type="dxa"/>
          </w:tcPr>
          <w:p w14:paraId="5F3279A0" w14:textId="77777777" w:rsidR="00FD37D4" w:rsidRDefault="00FD37D4" w:rsidP="00484704"/>
        </w:tc>
        <w:tc>
          <w:tcPr>
            <w:tcW w:w="4389" w:type="dxa"/>
          </w:tcPr>
          <w:p w14:paraId="2E70C90A" w14:textId="77777777" w:rsidR="00FD37D4" w:rsidRDefault="00FD37D4" w:rsidP="00484704"/>
        </w:tc>
      </w:tr>
      <w:tr w:rsidR="00FD37D4" w14:paraId="46A3A894" w14:textId="77777777" w:rsidTr="00FD37D4">
        <w:tc>
          <w:tcPr>
            <w:tcW w:w="4389" w:type="dxa"/>
          </w:tcPr>
          <w:p w14:paraId="64169D67"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b/>
                <w:bCs/>
                <w:color w:val="333333"/>
                <w:lang w:eastAsia="es-MX"/>
              </w:rPr>
              <w:lastRenderedPageBreak/>
              <w:t>Artículo 4. Expedientes.</w:t>
            </w:r>
            <w:r w:rsidRPr="00097B81">
              <w:rPr>
                <w:rFonts w:ascii="Arial" w:eastAsia="Times New Roman" w:hAnsi="Arial" w:cs="Arial"/>
                <w:color w:val="333333"/>
                <w:lang w:eastAsia="es-MX"/>
              </w:rPr>
              <w:t> Cuando no se tenga acceso al expediente físico en la sede judicial, tanto la autoridad judicial como los demás sujetos procesales colaborarán proporcionando por cualquier medio las piezas procesales que se encuentren en su poder y se requieran para desarrollar la actuación subsiguiente. La autoridad judicial, directamente o a través del secretario o el funcionario que haga sus veces, coordinará el cumplimiento de lo aquí previsto.</w:t>
            </w:r>
          </w:p>
          <w:p w14:paraId="52A15913"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12E313E2"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Las autoridades judiciales que cuenten con herramientas tecnológicas que dispongan y desarrollen las funcionalidades de expedientes digitales de forma híbrida podrán utilizarlas para el cumplimiento de actividades procesales.</w:t>
            </w:r>
          </w:p>
          <w:p w14:paraId="42501BB3" w14:textId="77777777" w:rsidR="00FD37D4" w:rsidRDefault="00FD37D4" w:rsidP="00484704"/>
        </w:tc>
        <w:tc>
          <w:tcPr>
            <w:tcW w:w="4389" w:type="dxa"/>
          </w:tcPr>
          <w:p w14:paraId="164370A1" w14:textId="77777777" w:rsidR="00FD37D4" w:rsidRDefault="00FD37D4" w:rsidP="00484704"/>
        </w:tc>
        <w:tc>
          <w:tcPr>
            <w:tcW w:w="4389" w:type="dxa"/>
          </w:tcPr>
          <w:p w14:paraId="344498B8" w14:textId="77777777" w:rsidR="00FD37D4" w:rsidRDefault="00FD37D4" w:rsidP="00484704"/>
        </w:tc>
      </w:tr>
      <w:tr w:rsidR="00FD37D4" w14:paraId="513BE9C2" w14:textId="77777777" w:rsidTr="00FD37D4">
        <w:tc>
          <w:tcPr>
            <w:tcW w:w="4389" w:type="dxa"/>
          </w:tcPr>
          <w:p w14:paraId="4B23A2B1"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b/>
                <w:bCs/>
                <w:color w:val="333333"/>
                <w:lang w:eastAsia="es-MX"/>
              </w:rPr>
              <w:t>Artículo 5. Poderes.</w:t>
            </w:r>
            <w:r w:rsidRPr="00097B81">
              <w:rPr>
                <w:rFonts w:ascii="Arial" w:eastAsia="Times New Roman" w:hAnsi="Arial" w:cs="Arial"/>
                <w:color w:val="333333"/>
                <w:lang w:eastAsia="es-MX"/>
              </w:rPr>
              <w:t xml:space="preserve"> Los poderes especiales para cualquier actuación judicial se podrán conferir mediante mensaje de datos, sin firma manuscrita o digital, con la sola antefirma, se presumirán auténticos y no requerirán </w:t>
            </w:r>
            <w:r w:rsidRPr="00097B81">
              <w:rPr>
                <w:rFonts w:ascii="Arial" w:eastAsia="Times New Roman" w:hAnsi="Arial" w:cs="Arial"/>
                <w:color w:val="333333"/>
                <w:lang w:eastAsia="es-MX"/>
              </w:rPr>
              <w:lastRenderedPageBreak/>
              <w:t>de ninguna presentación personal o reconocimiento.</w:t>
            </w:r>
          </w:p>
          <w:p w14:paraId="3125496D"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7E7EAE5D"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En el poder se indicará expresamente la dirección de correo electrónico del apoderado que deberá coincidir con la inscrita en el Registro Nacional de Abogados.</w:t>
            </w:r>
          </w:p>
          <w:p w14:paraId="5CF428D5"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1DCF67BF"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Los poderes otorgados por personas inscritas en el registro mercantil, deberán ser remitidos desde la dirección de correo electrónico inscrita para recibir notificaciones judiciales.</w:t>
            </w:r>
          </w:p>
          <w:p w14:paraId="0F871886" w14:textId="77777777" w:rsidR="00FD37D4" w:rsidRDefault="00FD37D4" w:rsidP="00484704"/>
        </w:tc>
        <w:tc>
          <w:tcPr>
            <w:tcW w:w="4389" w:type="dxa"/>
          </w:tcPr>
          <w:p w14:paraId="4CC48F97" w14:textId="77777777" w:rsidR="00FD37D4" w:rsidRDefault="00FD37D4" w:rsidP="00484704"/>
        </w:tc>
        <w:tc>
          <w:tcPr>
            <w:tcW w:w="4389" w:type="dxa"/>
          </w:tcPr>
          <w:p w14:paraId="2BC57590" w14:textId="77777777" w:rsidR="00FD37D4" w:rsidRDefault="00FD37D4" w:rsidP="00484704"/>
        </w:tc>
      </w:tr>
      <w:tr w:rsidR="00FD37D4" w14:paraId="529EC2F6" w14:textId="77777777" w:rsidTr="00FD37D4">
        <w:tc>
          <w:tcPr>
            <w:tcW w:w="4389" w:type="dxa"/>
          </w:tcPr>
          <w:p w14:paraId="6960B370"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b/>
                <w:bCs/>
                <w:color w:val="333333"/>
                <w:lang w:eastAsia="es-MX"/>
              </w:rPr>
              <w:lastRenderedPageBreak/>
              <w:t>Artículo 6. Demanda</w:t>
            </w:r>
            <w:r w:rsidRPr="00097B81">
              <w:rPr>
                <w:rFonts w:ascii="Arial" w:eastAsia="Times New Roman" w:hAnsi="Arial" w:cs="Arial"/>
                <w:color w:val="333333"/>
                <w:lang w:eastAsia="es-MX"/>
              </w:rPr>
              <w:t>. La demanda indicará el canal digital donde deben ser notificadas las partes, sus representantes y apoderados, los testigos, peritos y cualquier tercero que deba ser citado al proceso, so pena de su inadmisión. Asimismo, contendrá los anexos en medio electrónico, los cuales corresponderán a los enunciados y enumerados en la demanda.</w:t>
            </w:r>
          </w:p>
          <w:p w14:paraId="3DD0B058"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0A0A05F3"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Las demandas se presentarán en forma de mensaje de datos, lo mismo que todos sus anexos, a las direcciones de correo electrónico que el Consejo Superior de la Judicatura disponga para efectos del reparto, cuando haya lugar a este.</w:t>
            </w:r>
          </w:p>
          <w:p w14:paraId="3D92F6EC"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4A1785B0"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De las demandas y sus anexos no será necesario acompañar copias físicas, ni electrónicas para el archivo del juzgado, ni para el traslado.</w:t>
            </w:r>
          </w:p>
          <w:p w14:paraId="0370957F"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lastRenderedPageBreak/>
              <w:t> </w:t>
            </w:r>
          </w:p>
          <w:p w14:paraId="1123D379"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En cualquier jurisdicción, incluido el proceso arbitral y las autoridades administrativas que ejerzan funciones jurisdiccionales, salvo cuando se soliciten medidas cautelares previas o se desconozca el lugar donde recibirá notificaciones el demandado, el demandante, al presentar la demanda, simultáneamente deberá enviar por medio electrónico copia de ella y de sus anexos a los demandados. Del mismo modo deberá proceder el demandante cuando al inadmitirse la demanda presente el escrito de subsanación. El secretario o el funcionario que haga sus veces velará por el cumplimiento de este deber, sin cuya acreditación la autoridad judicial inadmitirá la demanda. De no conocerse el canal de digital de la parte demandada, se acreditará con la demanda el envío físico de la misma con sus anexos.</w:t>
            </w:r>
          </w:p>
          <w:p w14:paraId="2674947D"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6171367B"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En caso de que el demandante haya remitido copia de la demanda con todos sus anexos al demandado, al admitirse la demanda la notificación personal se limitará al envío del auto admisorio al demandado.  </w:t>
            </w:r>
          </w:p>
          <w:p w14:paraId="02838628" w14:textId="77777777" w:rsidR="00FD37D4" w:rsidRDefault="00FD37D4" w:rsidP="00484704"/>
        </w:tc>
        <w:tc>
          <w:tcPr>
            <w:tcW w:w="4389" w:type="dxa"/>
          </w:tcPr>
          <w:p w14:paraId="0ABE555F" w14:textId="77777777" w:rsidR="00FD37D4" w:rsidRDefault="00FD37D4" w:rsidP="00484704"/>
        </w:tc>
        <w:tc>
          <w:tcPr>
            <w:tcW w:w="4389" w:type="dxa"/>
          </w:tcPr>
          <w:p w14:paraId="42DDD0C4" w14:textId="77777777" w:rsidR="00FD37D4" w:rsidRDefault="00FD37D4" w:rsidP="00484704"/>
        </w:tc>
      </w:tr>
      <w:tr w:rsidR="00FD37D4" w14:paraId="3AC4FFCB" w14:textId="77777777" w:rsidTr="00FD37D4">
        <w:tc>
          <w:tcPr>
            <w:tcW w:w="4389" w:type="dxa"/>
          </w:tcPr>
          <w:p w14:paraId="110C77D5"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b/>
                <w:bCs/>
                <w:color w:val="333333"/>
                <w:lang w:eastAsia="es-MX"/>
              </w:rPr>
              <w:lastRenderedPageBreak/>
              <w:t>Artículo 7. Audiencias.</w:t>
            </w:r>
            <w:r w:rsidRPr="00097B81">
              <w:rPr>
                <w:rFonts w:ascii="Arial" w:eastAsia="Times New Roman" w:hAnsi="Arial" w:cs="Arial"/>
                <w:color w:val="333333"/>
                <w:lang w:eastAsia="es-MX"/>
              </w:rPr>
              <w:t xml:space="preserve"> Las audiencias deberán realizarse utilizando los medios tecnológicos a disposición de las autoridades judiciales o por cualquier otro medio puesto a disposición por una o por ambas partes y en ellas deberá </w:t>
            </w:r>
            <w:r w:rsidRPr="00097B81">
              <w:rPr>
                <w:rFonts w:ascii="Arial" w:eastAsia="Times New Roman" w:hAnsi="Arial" w:cs="Arial"/>
                <w:color w:val="333333"/>
                <w:lang w:eastAsia="es-MX"/>
              </w:rPr>
              <w:lastRenderedPageBreak/>
              <w:t>facilitarse y permitirse la presencia de todos los sujetos procesales, ya sea de manera virtual o telefónica.</w:t>
            </w:r>
          </w:p>
          <w:p w14:paraId="265DD357"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78816EFB"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No se requerirá la autorización de que trata el parágrafo</w:t>
            </w:r>
            <w:hyperlink r:id="rId8" w:anchor="107.p.2" w:history="1">
              <w:r w:rsidRPr="00097B81">
                <w:rPr>
                  <w:rFonts w:ascii="Arial" w:eastAsia="Times New Roman" w:hAnsi="Arial" w:cs="Arial"/>
                  <w:color w:val="0000FF"/>
                  <w:u w:val="single"/>
                  <w:lang w:eastAsia="es-MX"/>
                </w:rPr>
                <w:t> 2°</w:t>
              </w:r>
            </w:hyperlink>
            <w:r w:rsidRPr="00097B81">
              <w:rPr>
                <w:rFonts w:ascii="Arial" w:eastAsia="Times New Roman" w:hAnsi="Arial" w:cs="Arial"/>
                <w:color w:val="333333"/>
                <w:lang w:eastAsia="es-MX"/>
              </w:rPr>
              <w:t> del artículo 107 del Código General del Proceso. No obstante, con autorización del titular del despacho, cualquier empleado podrá comunicarse con los sujetos procesales, antes de la realización de las audiencias, con el fin de informarles sobre la herramienta tecnológica que se utilizará en ellas o para concertar una distinta.</w:t>
            </w:r>
          </w:p>
          <w:p w14:paraId="188B887D"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3BFFD17E"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b/>
                <w:bCs/>
                <w:color w:val="333333"/>
                <w:lang w:eastAsia="es-MX"/>
              </w:rPr>
              <w:t>Parágrafo.</w:t>
            </w:r>
            <w:r w:rsidRPr="00097B81">
              <w:rPr>
                <w:rFonts w:ascii="Arial" w:eastAsia="Times New Roman" w:hAnsi="Arial" w:cs="Arial"/>
                <w:color w:val="333333"/>
                <w:lang w:eastAsia="es-MX"/>
              </w:rPr>
              <w:t> Las audiencias y diligencias que se deban adelantar por la sala de una corporación serán presididas por el ponente, ya ellas deberán concurrir la mayoría de los magistrados que integran la sala, so pena de nulidad.</w:t>
            </w:r>
          </w:p>
          <w:p w14:paraId="2FAA4B22" w14:textId="77777777" w:rsidR="00FD37D4" w:rsidRDefault="00FD37D4" w:rsidP="00484704"/>
        </w:tc>
        <w:tc>
          <w:tcPr>
            <w:tcW w:w="4389" w:type="dxa"/>
          </w:tcPr>
          <w:p w14:paraId="3311232E" w14:textId="77777777" w:rsidR="00FD37D4" w:rsidRDefault="00FD37D4" w:rsidP="00484704"/>
        </w:tc>
        <w:tc>
          <w:tcPr>
            <w:tcW w:w="4389" w:type="dxa"/>
          </w:tcPr>
          <w:p w14:paraId="337F6EA8" w14:textId="77777777" w:rsidR="00FD37D4" w:rsidRDefault="00FD37D4" w:rsidP="00484704"/>
        </w:tc>
      </w:tr>
      <w:tr w:rsidR="00FD37D4" w14:paraId="52C54925" w14:textId="77777777" w:rsidTr="00FD37D4">
        <w:tc>
          <w:tcPr>
            <w:tcW w:w="4389" w:type="dxa"/>
          </w:tcPr>
          <w:p w14:paraId="319067A6"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b/>
                <w:bCs/>
                <w:color w:val="333333"/>
                <w:lang w:eastAsia="es-MX"/>
              </w:rPr>
              <w:lastRenderedPageBreak/>
              <w:t>Artículo 8. Notificaciones personales.</w:t>
            </w:r>
            <w:r w:rsidRPr="00097B81">
              <w:rPr>
                <w:rFonts w:ascii="Arial" w:eastAsia="Times New Roman" w:hAnsi="Arial" w:cs="Arial"/>
                <w:color w:val="333333"/>
                <w:lang w:eastAsia="es-MX"/>
              </w:rPr>
              <w:t> Las notificaciones que deban hacerse personalmente también podrán efectuarse con el envío de la providencia respectiva como mensaje de datos a la dirección electrónica o sitio que suministre el interesado en que se realice la notificación, sin necesidad del envío de previa citación o aviso físico o virtual. Los anexos que deban entregarse para un traslado se enviarán por el mismo medio.</w:t>
            </w:r>
          </w:p>
          <w:p w14:paraId="0BE50C59"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6D1758EB"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lastRenderedPageBreak/>
              <w:t>El interesado afirmará bajo la gravedad del juramento, que se entenderá prestado con la petición, que la dirección electrónica o sitio suministrado corresponde al utilizado por la persona a notificar, informará la forma como la obtuvo y allegará las evidencias correspondientes, particularmente las comunicaciones remitidas a la persona por notificar.</w:t>
            </w:r>
          </w:p>
          <w:p w14:paraId="33BB1E1E"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2C7F2A5C"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La notificación personal se entenderá realizada una vez transcurridos dos días hábiles siguientes al envío del mensaje y los términos empezarán a correr a partir del día siguiente al de la notificación.</w:t>
            </w:r>
          </w:p>
          <w:p w14:paraId="2588CD83"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0C40D603"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Para los fines de esta norma se podrán implementar o utilizar sistemas de confirmación del recibo de los correos electrónicos o mensajes de datos.</w:t>
            </w:r>
          </w:p>
          <w:p w14:paraId="2E5EE624"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09AFBDA3"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Cuando exista discrepancia sobre la forma en que se practicó la notificación, la parte que se considere afectada deberá manifestar bajo la gravedad del juramento, al solicitar la declaratoria de nulidad de lo actuado, que no se enteró de la providencia, además de cumplir con lo dispuesto en los artículos </w:t>
            </w:r>
            <w:hyperlink r:id="rId9" w:anchor="132" w:history="1">
              <w:r w:rsidRPr="00097B81">
                <w:rPr>
                  <w:rFonts w:ascii="Arial" w:eastAsia="Times New Roman" w:hAnsi="Arial" w:cs="Arial"/>
                  <w:color w:val="0000FF"/>
                  <w:u w:val="single"/>
                  <w:lang w:eastAsia="es-MX"/>
                </w:rPr>
                <w:t>132</w:t>
              </w:r>
            </w:hyperlink>
            <w:r w:rsidRPr="00097B81">
              <w:rPr>
                <w:rFonts w:ascii="Arial" w:eastAsia="Times New Roman" w:hAnsi="Arial" w:cs="Arial"/>
                <w:color w:val="333333"/>
                <w:lang w:eastAsia="es-MX"/>
              </w:rPr>
              <w:t> a </w:t>
            </w:r>
            <w:hyperlink r:id="rId10" w:anchor="138" w:history="1">
              <w:r w:rsidRPr="00097B81">
                <w:rPr>
                  <w:rFonts w:ascii="Arial" w:eastAsia="Times New Roman" w:hAnsi="Arial" w:cs="Arial"/>
                  <w:color w:val="0000FF"/>
                  <w:u w:val="single"/>
                  <w:lang w:eastAsia="es-MX"/>
                </w:rPr>
                <w:t>138</w:t>
              </w:r>
            </w:hyperlink>
            <w:r w:rsidRPr="00097B81">
              <w:rPr>
                <w:rFonts w:ascii="Arial" w:eastAsia="Times New Roman" w:hAnsi="Arial" w:cs="Arial"/>
                <w:color w:val="333333"/>
                <w:lang w:eastAsia="es-MX"/>
              </w:rPr>
              <w:t> del Código General del Proceso.</w:t>
            </w:r>
          </w:p>
          <w:p w14:paraId="360ABF6D"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b/>
                <w:bCs/>
                <w:color w:val="333333"/>
                <w:lang w:eastAsia="es-MX"/>
              </w:rPr>
              <w:t> </w:t>
            </w:r>
          </w:p>
          <w:p w14:paraId="555E8EB0"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b/>
                <w:bCs/>
                <w:color w:val="333333"/>
                <w:lang w:eastAsia="es-MX"/>
              </w:rPr>
              <w:t>Parágrafo 1.</w:t>
            </w:r>
            <w:r w:rsidRPr="00097B81">
              <w:rPr>
                <w:rFonts w:ascii="Arial" w:eastAsia="Times New Roman" w:hAnsi="Arial" w:cs="Arial"/>
                <w:color w:val="333333"/>
                <w:lang w:eastAsia="es-MX"/>
              </w:rPr>
              <w:t xml:space="preserve"> Lo previsto en este artículo se aplicará cualquiera sea la naturaleza de la actuación, incluidas las pruebas extraprocesales o del proceso, sea este declarativo, </w:t>
            </w:r>
            <w:r w:rsidRPr="00097B81">
              <w:rPr>
                <w:rFonts w:ascii="Arial" w:eastAsia="Times New Roman" w:hAnsi="Arial" w:cs="Arial"/>
                <w:color w:val="333333"/>
                <w:lang w:eastAsia="es-MX"/>
              </w:rPr>
              <w:lastRenderedPageBreak/>
              <w:t>declarativo especial, monitorio, ejecutivo o cualquiera otro.</w:t>
            </w:r>
          </w:p>
          <w:p w14:paraId="2794EAD4"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17018848"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b/>
                <w:bCs/>
                <w:color w:val="333333"/>
                <w:lang w:eastAsia="es-MX"/>
              </w:rPr>
              <w:t>Parágrafo 2.</w:t>
            </w:r>
            <w:r w:rsidRPr="00097B81">
              <w:rPr>
                <w:rFonts w:ascii="Arial" w:eastAsia="Times New Roman" w:hAnsi="Arial" w:cs="Arial"/>
                <w:color w:val="333333"/>
                <w:lang w:eastAsia="es-MX"/>
              </w:rPr>
              <w:t> La autoridad judicial, de oficio o a petición de parte, podrá solicitar información de las direcciones electrónicas o sitios de la parte por notificar que estén en las Cámaras de Comercio, superintendencias, entidades públicas o privadas, o utilizar aquellas que estén informadas en páginas Web o en redes' sociales.</w:t>
            </w:r>
          </w:p>
          <w:p w14:paraId="3295E3A4" w14:textId="77777777" w:rsidR="00FD37D4" w:rsidRDefault="00FD37D4" w:rsidP="00484704"/>
        </w:tc>
        <w:tc>
          <w:tcPr>
            <w:tcW w:w="4389" w:type="dxa"/>
          </w:tcPr>
          <w:p w14:paraId="3B4ADCB3" w14:textId="77777777" w:rsidR="00FD37D4" w:rsidRDefault="00FD37D4" w:rsidP="00484704"/>
        </w:tc>
        <w:tc>
          <w:tcPr>
            <w:tcW w:w="4389" w:type="dxa"/>
          </w:tcPr>
          <w:p w14:paraId="42019BDD" w14:textId="77777777" w:rsidR="00FD37D4" w:rsidRDefault="00FD37D4" w:rsidP="00484704"/>
        </w:tc>
      </w:tr>
      <w:tr w:rsidR="00FD37D4" w14:paraId="39F7F6C9" w14:textId="77777777" w:rsidTr="00FD37D4">
        <w:tc>
          <w:tcPr>
            <w:tcW w:w="4389" w:type="dxa"/>
          </w:tcPr>
          <w:p w14:paraId="2D3C1BCC"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b/>
                <w:bCs/>
                <w:color w:val="333333"/>
                <w:lang w:eastAsia="es-MX"/>
              </w:rPr>
              <w:lastRenderedPageBreak/>
              <w:t>Artículo 9. Notificación por estado y traslados.</w:t>
            </w:r>
            <w:r w:rsidRPr="00097B81">
              <w:rPr>
                <w:rFonts w:ascii="Arial" w:eastAsia="Times New Roman" w:hAnsi="Arial" w:cs="Arial"/>
                <w:color w:val="333333"/>
                <w:lang w:eastAsia="es-MX"/>
              </w:rPr>
              <w:t> Las notificaciones por estado se fijarán virtualmente, con inserción de la providencia, y no será necesario imprimirlos, ni firmarlos por el secretario, ni dejar constancia con firma al pie de la providencia respectiva.</w:t>
            </w:r>
          </w:p>
          <w:p w14:paraId="760333AD"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73E27A7E"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No obstante, no se insertarán en el estado electrónico las providencias que decretan medidas cautelares o hagan mención a menores, o cuando la autoridad judicial así lo disponga por estar sujetas a reserva legal.</w:t>
            </w:r>
          </w:p>
          <w:p w14:paraId="52821D59"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64ACB69F"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De la misma forma podrán surtirse los traslados que deban hacerse por fuera de audiencia.</w:t>
            </w:r>
          </w:p>
          <w:p w14:paraId="50E6E30D"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44A15C23"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Los ejemplares de los estados y traslados virtuales se conservarán en línea para consulta permanente por cualquier interesado.</w:t>
            </w:r>
          </w:p>
          <w:p w14:paraId="7D589290"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49FB9513"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b/>
                <w:bCs/>
                <w:color w:val="333333"/>
                <w:lang w:eastAsia="es-MX"/>
              </w:rPr>
              <w:lastRenderedPageBreak/>
              <w:t>Parágrafo.</w:t>
            </w:r>
            <w:r w:rsidRPr="00097B81">
              <w:rPr>
                <w:rFonts w:ascii="Arial" w:eastAsia="Times New Roman" w:hAnsi="Arial" w:cs="Arial"/>
                <w:color w:val="333333"/>
                <w:lang w:eastAsia="es-MX"/>
              </w:rPr>
              <w:t> Cuando una parte acredite haber enviado un escrito del cual deba correrse traslado a los demás sujetos procesales, mediante la remisión de la copia por un canal digital, se prescindirá del traslado por secretaria, el cual se entenderá realizado a los dos (2) días hábiles siguientes al del envío del mensaje y el término respectivo empezará a correr a partir del día siguiente.</w:t>
            </w:r>
          </w:p>
          <w:p w14:paraId="759404CD" w14:textId="77777777" w:rsidR="00FD37D4" w:rsidRDefault="00FD37D4" w:rsidP="00484704"/>
        </w:tc>
        <w:tc>
          <w:tcPr>
            <w:tcW w:w="4389" w:type="dxa"/>
          </w:tcPr>
          <w:p w14:paraId="4A89300C" w14:textId="77777777" w:rsidR="00FD37D4" w:rsidRDefault="00FD37D4" w:rsidP="00484704"/>
        </w:tc>
        <w:tc>
          <w:tcPr>
            <w:tcW w:w="4389" w:type="dxa"/>
          </w:tcPr>
          <w:p w14:paraId="0C0514B4" w14:textId="77777777" w:rsidR="00FD37D4" w:rsidRDefault="00FD37D4" w:rsidP="00484704"/>
        </w:tc>
      </w:tr>
      <w:tr w:rsidR="00FD37D4" w14:paraId="1C0BBC2B" w14:textId="77777777" w:rsidTr="00FD37D4">
        <w:tc>
          <w:tcPr>
            <w:tcW w:w="4389" w:type="dxa"/>
          </w:tcPr>
          <w:p w14:paraId="42423829"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b/>
                <w:bCs/>
                <w:color w:val="333333"/>
                <w:lang w:eastAsia="es-MX"/>
              </w:rPr>
              <w:lastRenderedPageBreak/>
              <w:t>Artículo 10. Emplazamiento para notificación personal.</w:t>
            </w:r>
            <w:r w:rsidRPr="00097B81">
              <w:rPr>
                <w:rFonts w:ascii="Arial" w:eastAsia="Times New Roman" w:hAnsi="Arial" w:cs="Arial"/>
                <w:color w:val="333333"/>
                <w:lang w:eastAsia="es-MX"/>
              </w:rPr>
              <w:t> Los emplazamientos que deban realizarse en aplicación del artículo </w:t>
            </w:r>
            <w:hyperlink r:id="rId11" w:anchor="108" w:history="1">
              <w:r w:rsidRPr="00097B81">
                <w:rPr>
                  <w:rFonts w:ascii="Arial" w:eastAsia="Times New Roman" w:hAnsi="Arial" w:cs="Arial"/>
                  <w:color w:val="0000FF"/>
                  <w:u w:val="single"/>
                  <w:lang w:eastAsia="es-MX"/>
                </w:rPr>
                <w:t>108</w:t>
              </w:r>
            </w:hyperlink>
            <w:r w:rsidRPr="00097B81">
              <w:rPr>
                <w:rFonts w:ascii="Arial" w:eastAsia="Times New Roman" w:hAnsi="Arial" w:cs="Arial"/>
                <w:color w:val="333333"/>
                <w:lang w:eastAsia="es-MX"/>
              </w:rPr>
              <w:t> del Código General del Proceso se harán únicamente en el registro nacional de personas emplazadas, sin necesidad de publicación en un medio escrito.</w:t>
            </w:r>
          </w:p>
          <w:p w14:paraId="78C35C1A" w14:textId="77777777" w:rsidR="00FD37D4" w:rsidRDefault="00FD37D4" w:rsidP="00484704"/>
        </w:tc>
        <w:tc>
          <w:tcPr>
            <w:tcW w:w="4389" w:type="dxa"/>
          </w:tcPr>
          <w:p w14:paraId="79B13E8A" w14:textId="77777777" w:rsidR="00FD37D4" w:rsidRDefault="00FD37D4" w:rsidP="00484704"/>
        </w:tc>
        <w:tc>
          <w:tcPr>
            <w:tcW w:w="4389" w:type="dxa"/>
          </w:tcPr>
          <w:p w14:paraId="1FB91FF5" w14:textId="77777777" w:rsidR="00FD37D4" w:rsidRDefault="00FD37D4" w:rsidP="00484704"/>
        </w:tc>
      </w:tr>
      <w:tr w:rsidR="00FD37D4" w14:paraId="40AE5170" w14:textId="77777777" w:rsidTr="00FD37D4">
        <w:tc>
          <w:tcPr>
            <w:tcW w:w="4389" w:type="dxa"/>
          </w:tcPr>
          <w:p w14:paraId="14F47E33"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b/>
                <w:bCs/>
                <w:color w:val="333333"/>
                <w:lang w:eastAsia="es-MX"/>
              </w:rPr>
              <w:t>Artículo 11. Comunicaciones, oficios y despachos.</w:t>
            </w:r>
            <w:r w:rsidRPr="00097B81">
              <w:rPr>
                <w:rFonts w:ascii="Arial" w:eastAsia="Times New Roman" w:hAnsi="Arial" w:cs="Arial"/>
                <w:color w:val="333333"/>
                <w:lang w:eastAsia="es-MX"/>
              </w:rPr>
              <w:t> Todas las comunicaciones, oficios y despachos con cualquier destinatario, se surtirán por el medio técnico disponible, como lo autoriza el artículo </w:t>
            </w:r>
            <w:hyperlink r:id="rId12" w:anchor="111" w:history="1">
              <w:r w:rsidRPr="00097B81">
                <w:rPr>
                  <w:rFonts w:ascii="Arial" w:eastAsia="Times New Roman" w:hAnsi="Arial" w:cs="Arial"/>
                  <w:color w:val="0000FF"/>
                  <w:u w:val="single"/>
                  <w:lang w:eastAsia="es-MX"/>
                </w:rPr>
                <w:t>111</w:t>
              </w:r>
            </w:hyperlink>
            <w:r w:rsidRPr="00097B81">
              <w:rPr>
                <w:rFonts w:ascii="Arial" w:eastAsia="Times New Roman" w:hAnsi="Arial" w:cs="Arial"/>
                <w:color w:val="333333"/>
                <w:lang w:eastAsia="es-MX"/>
              </w:rPr>
              <w:t> del Código General del Proceso.</w:t>
            </w:r>
          </w:p>
          <w:p w14:paraId="029A1A09"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6CE584E3"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xml:space="preserve">Los secretarios o los funcionarios que hagan sus veces remitirán las comunicaciones necesarias para dar cumplimiento a las órdenes judiciales mediante mensaje de datos, dirigidas a cualquier entidad pública, privada o particulares, las cuales se presumen auténticas y no podrán desconocerse siempre que provengan del correo </w:t>
            </w:r>
            <w:r w:rsidRPr="00097B81">
              <w:rPr>
                <w:rFonts w:ascii="Arial" w:eastAsia="Times New Roman" w:hAnsi="Arial" w:cs="Arial"/>
                <w:color w:val="333333"/>
                <w:lang w:eastAsia="es-MX"/>
              </w:rPr>
              <w:lastRenderedPageBreak/>
              <w:t>electrónico oficial de la autoridad judicial.</w:t>
            </w:r>
          </w:p>
          <w:p w14:paraId="093E8003" w14:textId="77777777" w:rsidR="00FD37D4" w:rsidRDefault="00FD37D4" w:rsidP="00484704"/>
        </w:tc>
        <w:tc>
          <w:tcPr>
            <w:tcW w:w="4389" w:type="dxa"/>
          </w:tcPr>
          <w:p w14:paraId="3DC1A405" w14:textId="77777777" w:rsidR="00FD37D4" w:rsidRDefault="00FD37D4" w:rsidP="00484704"/>
        </w:tc>
        <w:tc>
          <w:tcPr>
            <w:tcW w:w="4389" w:type="dxa"/>
          </w:tcPr>
          <w:p w14:paraId="48BE1EBF" w14:textId="77777777" w:rsidR="00FD37D4" w:rsidRDefault="00FD37D4" w:rsidP="00484704"/>
        </w:tc>
      </w:tr>
      <w:tr w:rsidR="00FD37D4" w14:paraId="47A87706" w14:textId="77777777" w:rsidTr="00FD37D4">
        <w:tc>
          <w:tcPr>
            <w:tcW w:w="4389" w:type="dxa"/>
          </w:tcPr>
          <w:p w14:paraId="2D84146D"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b/>
                <w:bCs/>
                <w:color w:val="333333"/>
                <w:lang w:eastAsia="es-MX"/>
              </w:rPr>
              <w:lastRenderedPageBreak/>
              <w:t>Artículo 12. Resolución de excepciones en la jurisdicción de lo Contencioso Administrativo. </w:t>
            </w:r>
            <w:r w:rsidRPr="00097B81">
              <w:rPr>
                <w:rFonts w:ascii="Arial" w:eastAsia="Times New Roman" w:hAnsi="Arial" w:cs="Arial"/>
                <w:color w:val="333333"/>
                <w:lang w:eastAsia="es-MX"/>
              </w:rPr>
              <w:t>De las excepciones presentadas se correrá traslado por el término de tres (3) días en la forma regulada en el artículo </w:t>
            </w:r>
            <w:hyperlink r:id="rId13" w:anchor="110" w:history="1">
              <w:r w:rsidRPr="00097B81">
                <w:rPr>
                  <w:rFonts w:ascii="Arial" w:eastAsia="Times New Roman" w:hAnsi="Arial" w:cs="Arial"/>
                  <w:color w:val="0000FF"/>
                  <w:u w:val="single"/>
                  <w:lang w:eastAsia="es-MX"/>
                </w:rPr>
                <w:t>110</w:t>
              </w:r>
            </w:hyperlink>
            <w:r w:rsidRPr="00097B81">
              <w:rPr>
                <w:rFonts w:ascii="Arial" w:eastAsia="Times New Roman" w:hAnsi="Arial" w:cs="Arial"/>
                <w:color w:val="333333"/>
                <w:lang w:eastAsia="es-MX"/>
              </w:rPr>
              <w:t> del Código General del Proceso, o el que lo sustituya. En este término, la parte demandante podrá pronunciarse sobre ellas y, si fuere el caso, subsanar los defectos anotados en las excepciones previas.</w:t>
            </w:r>
          </w:p>
          <w:p w14:paraId="3F1075E9"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75883D17"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Las excepciones previas se formularán y decidirán según lo regulado en los articulas </w:t>
            </w:r>
            <w:hyperlink r:id="rId14" w:anchor="100" w:history="1">
              <w:r w:rsidRPr="00097B81">
                <w:rPr>
                  <w:rFonts w:ascii="Arial" w:eastAsia="Times New Roman" w:hAnsi="Arial" w:cs="Arial"/>
                  <w:color w:val="0000FF"/>
                  <w:u w:val="single"/>
                  <w:lang w:eastAsia="es-MX"/>
                </w:rPr>
                <w:t>100</w:t>
              </w:r>
            </w:hyperlink>
            <w:r w:rsidRPr="00097B81">
              <w:rPr>
                <w:rFonts w:ascii="Arial" w:eastAsia="Times New Roman" w:hAnsi="Arial" w:cs="Arial"/>
                <w:color w:val="333333"/>
                <w:lang w:eastAsia="es-MX"/>
              </w:rPr>
              <w:t>, </w:t>
            </w:r>
            <w:hyperlink r:id="rId15" w:anchor="101" w:history="1">
              <w:r w:rsidRPr="00097B81">
                <w:rPr>
                  <w:rFonts w:ascii="Arial" w:eastAsia="Times New Roman" w:hAnsi="Arial" w:cs="Arial"/>
                  <w:color w:val="0000FF"/>
                  <w:u w:val="single"/>
                  <w:lang w:eastAsia="es-MX"/>
                </w:rPr>
                <w:t>101</w:t>
              </w:r>
            </w:hyperlink>
            <w:r w:rsidRPr="00097B81">
              <w:rPr>
                <w:rFonts w:ascii="Arial" w:eastAsia="Times New Roman" w:hAnsi="Arial" w:cs="Arial"/>
                <w:color w:val="333333"/>
                <w:lang w:eastAsia="es-MX"/>
              </w:rPr>
              <w:t> Y </w:t>
            </w:r>
            <w:hyperlink r:id="rId16" w:anchor="102" w:history="1">
              <w:r w:rsidRPr="00097B81">
                <w:rPr>
                  <w:rFonts w:ascii="Arial" w:eastAsia="Times New Roman" w:hAnsi="Arial" w:cs="Arial"/>
                  <w:color w:val="0000FF"/>
                  <w:u w:val="single"/>
                  <w:lang w:eastAsia="es-MX"/>
                </w:rPr>
                <w:t>102</w:t>
              </w:r>
            </w:hyperlink>
            <w:r w:rsidRPr="00097B81">
              <w:rPr>
                <w:rFonts w:ascii="Arial" w:eastAsia="Times New Roman" w:hAnsi="Arial" w:cs="Arial"/>
                <w:color w:val="333333"/>
                <w:lang w:eastAsia="es-MX"/>
              </w:rPr>
              <w:t> del Código General del Proceso. Cuando se requiera la práctica de pruebas a que se refiere el inciso segundo del artículo </w:t>
            </w:r>
            <w:hyperlink r:id="rId17" w:anchor="101" w:history="1">
              <w:r w:rsidRPr="00097B81">
                <w:rPr>
                  <w:rFonts w:ascii="Arial" w:eastAsia="Times New Roman" w:hAnsi="Arial" w:cs="Arial"/>
                  <w:color w:val="0000FF"/>
                  <w:u w:val="single"/>
                  <w:lang w:eastAsia="es-MX"/>
                </w:rPr>
                <w:t>101</w:t>
              </w:r>
            </w:hyperlink>
            <w:r w:rsidRPr="00097B81">
              <w:rPr>
                <w:rFonts w:ascii="Arial" w:eastAsia="Times New Roman" w:hAnsi="Arial" w:cs="Arial"/>
                <w:color w:val="333333"/>
                <w:lang w:eastAsia="es-MX"/>
              </w:rPr>
              <w:t> del citado código, el juzgador las decretará en el auto que cita a la audiencia inicial, y en el curso de esta las practicará. Allí mismo, resolverá las excepciones previas que requirieron pruebas y estén pendientes de decisión.</w:t>
            </w:r>
          </w:p>
          <w:p w14:paraId="069C8635"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3DD553A1"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Las excepciones de cosa juzgada, caducidad, transacción, conciliación, falta de legitimación en la causa y prescripción extintiva. se tramitarán y decidirán en los términos señalados anteriormente.</w:t>
            </w:r>
          </w:p>
          <w:p w14:paraId="3BF6200E"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6C388762"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xml:space="preserve">La providencia que resuelva las excepciones mencionadas deberá ser </w:t>
            </w:r>
            <w:r w:rsidRPr="00097B81">
              <w:rPr>
                <w:rFonts w:ascii="Arial" w:eastAsia="Times New Roman" w:hAnsi="Arial" w:cs="Arial"/>
                <w:color w:val="333333"/>
                <w:lang w:eastAsia="es-MX"/>
              </w:rPr>
              <w:lastRenderedPageBreak/>
              <w:t>adoptada en primera instancia por el juez. subsección, sección o sala de conocimiento. Contra esta decisión procederá el recurso apelación, el cual será resuelto por la subsección, sección o sala del tribunal o Consejo de Estado. Cuando esta decisión se profiera en única instancia por los tribunales y Consejo de Estado se decidirá por el magistrado ponente y será suplicable.</w:t>
            </w:r>
          </w:p>
          <w:p w14:paraId="7A771D89" w14:textId="77777777" w:rsidR="00FD37D4" w:rsidRDefault="00FD37D4" w:rsidP="00484704"/>
        </w:tc>
        <w:tc>
          <w:tcPr>
            <w:tcW w:w="4389" w:type="dxa"/>
          </w:tcPr>
          <w:p w14:paraId="46B50788" w14:textId="77777777" w:rsidR="00FD37D4" w:rsidRDefault="00FD37D4" w:rsidP="00484704"/>
        </w:tc>
        <w:tc>
          <w:tcPr>
            <w:tcW w:w="4389" w:type="dxa"/>
          </w:tcPr>
          <w:p w14:paraId="29EEC280" w14:textId="77777777" w:rsidR="00FD37D4" w:rsidRDefault="00FD37D4" w:rsidP="00484704"/>
        </w:tc>
      </w:tr>
      <w:tr w:rsidR="00FD37D4" w14:paraId="22D8B002" w14:textId="77777777" w:rsidTr="00FD37D4">
        <w:tc>
          <w:tcPr>
            <w:tcW w:w="4389" w:type="dxa"/>
          </w:tcPr>
          <w:p w14:paraId="7C4F5A46"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b/>
                <w:bCs/>
                <w:color w:val="333333"/>
                <w:lang w:eastAsia="es-MX"/>
              </w:rPr>
              <w:lastRenderedPageBreak/>
              <w:t>Artículo 13. Sentencia anticipada en lo contencioso administrativo</w:t>
            </w:r>
            <w:r w:rsidRPr="00097B81">
              <w:rPr>
                <w:rFonts w:ascii="Arial" w:eastAsia="Times New Roman" w:hAnsi="Arial" w:cs="Arial"/>
                <w:color w:val="333333"/>
                <w:lang w:eastAsia="es-MX"/>
              </w:rPr>
              <w:t>. El juzgador deberá dictar sentencia anticipada:</w:t>
            </w:r>
          </w:p>
          <w:p w14:paraId="0B472F7C"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44F56BDB"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1. Antes de la audiencia inicial, cuando se trate de asuntos de puro derecho o no fuere necesario practicar pruebas. caso en el cual correrá traslado para alegar por escrito, en la forma prevista en el inciso </w:t>
            </w:r>
            <w:hyperlink r:id="rId18" w:anchor="181.i.5" w:history="1">
              <w:r w:rsidRPr="00097B81">
                <w:rPr>
                  <w:rFonts w:ascii="Arial" w:eastAsia="Times New Roman" w:hAnsi="Arial" w:cs="Arial"/>
                  <w:color w:val="0000FF"/>
                  <w:u w:val="single"/>
                  <w:lang w:eastAsia="es-MX"/>
                </w:rPr>
                <w:t>final</w:t>
              </w:r>
            </w:hyperlink>
            <w:r w:rsidRPr="00097B81">
              <w:rPr>
                <w:rFonts w:ascii="Arial" w:eastAsia="Times New Roman" w:hAnsi="Arial" w:cs="Arial"/>
                <w:color w:val="333333"/>
                <w:lang w:eastAsia="es-MX"/>
              </w:rPr>
              <w:t> del artículo 181 de la Ley 1437 de 2011 y la sentencia se proferirá por escrito.</w:t>
            </w:r>
          </w:p>
          <w:p w14:paraId="16379929"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6DFB833F"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xml:space="preserve">2. En cualquier estado del proceso, cuando las partes o sus apoderados de común acuerdo lo soliciten, sea por iniciativa propia o por sugerencia del juez. Si la solicitud se presenta en el transcurso de una audiencia. se dará traslado para alegar dentro de ella. Si se hace por escrito, las partes podrán allegar con la petición sus alegatos de conclusión, de lo cual se dará traslado por diez (10) días comunes al Ministerio Público y demás intervinientes. El juzgador rechazará la </w:t>
            </w:r>
            <w:r w:rsidRPr="00097B81">
              <w:rPr>
                <w:rFonts w:ascii="Arial" w:eastAsia="Times New Roman" w:hAnsi="Arial" w:cs="Arial"/>
                <w:color w:val="333333"/>
                <w:lang w:eastAsia="es-MX"/>
              </w:rPr>
              <w:lastRenderedPageBreak/>
              <w:t>solicitud cuando advierta fraude o colusión. Si en el proceso intervienen litisconsortes necesarios, la petición, deberá realizarse conjuntamente con estos. Con la aceptación de esta petición por parte del juez, se entenderán desistidos los recursos que hubieren formulado los peticionarios contra decisiones interlocutorias que estén pendientes de tramitar o resolver.</w:t>
            </w:r>
          </w:p>
          <w:p w14:paraId="64E7016B"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0D2E57B1"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3. En la segunda etapa del proceso prevista en el artículo </w:t>
            </w:r>
            <w:hyperlink r:id="rId19" w:anchor="179" w:history="1">
              <w:r w:rsidRPr="00097B81">
                <w:rPr>
                  <w:rFonts w:ascii="Arial" w:eastAsia="Times New Roman" w:hAnsi="Arial" w:cs="Arial"/>
                  <w:color w:val="0000FF"/>
                  <w:u w:val="single"/>
                  <w:lang w:eastAsia="es-MX"/>
                </w:rPr>
                <w:t>179</w:t>
              </w:r>
            </w:hyperlink>
            <w:r w:rsidRPr="00097B81">
              <w:rPr>
                <w:rFonts w:ascii="Arial" w:eastAsia="Times New Roman" w:hAnsi="Arial" w:cs="Arial"/>
                <w:color w:val="333333"/>
                <w:lang w:eastAsia="es-MX"/>
              </w:rPr>
              <w:t> de la Ley 1437 de 2011, cuando encuentre probada la cosa juzgada, la transacción; la conciliación, la caducidad, la prescripción extintiva y la falta de legitimación en la causa. La sentencia se dictará oralmente en audiencia o se proferirá por escrito. En este caso no se correrá traslado para alegar.</w:t>
            </w:r>
          </w:p>
          <w:p w14:paraId="45E6D168"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42FC4DC9"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4. En caso de allanamiento de conformidad con el artículo </w:t>
            </w:r>
            <w:hyperlink r:id="rId20" w:anchor="176" w:history="1">
              <w:r w:rsidRPr="00097B81">
                <w:rPr>
                  <w:rFonts w:ascii="Arial" w:eastAsia="Times New Roman" w:hAnsi="Arial" w:cs="Arial"/>
                  <w:color w:val="0000FF"/>
                  <w:u w:val="single"/>
                  <w:lang w:eastAsia="es-MX"/>
                </w:rPr>
                <w:t>176</w:t>
              </w:r>
            </w:hyperlink>
            <w:r w:rsidRPr="00097B81">
              <w:rPr>
                <w:rFonts w:ascii="Arial" w:eastAsia="Times New Roman" w:hAnsi="Arial" w:cs="Arial"/>
                <w:color w:val="333333"/>
                <w:lang w:eastAsia="es-MX"/>
              </w:rPr>
              <w:t> de la Ley 1437 de 2011.</w:t>
            </w:r>
          </w:p>
          <w:p w14:paraId="24EB08CF" w14:textId="77777777" w:rsidR="00FD37D4" w:rsidRDefault="00FD37D4" w:rsidP="00484704"/>
        </w:tc>
        <w:tc>
          <w:tcPr>
            <w:tcW w:w="4389" w:type="dxa"/>
          </w:tcPr>
          <w:p w14:paraId="67BDA8B1" w14:textId="77777777" w:rsidR="00FD37D4" w:rsidRDefault="00FD37D4" w:rsidP="00484704"/>
        </w:tc>
        <w:tc>
          <w:tcPr>
            <w:tcW w:w="4389" w:type="dxa"/>
          </w:tcPr>
          <w:p w14:paraId="71FD70AE" w14:textId="77777777" w:rsidR="00FD37D4" w:rsidRDefault="00FD37D4" w:rsidP="00484704"/>
        </w:tc>
      </w:tr>
      <w:tr w:rsidR="00FD37D4" w14:paraId="27775969" w14:textId="77777777" w:rsidTr="00FD37D4">
        <w:tc>
          <w:tcPr>
            <w:tcW w:w="4389" w:type="dxa"/>
          </w:tcPr>
          <w:p w14:paraId="1335047B"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b/>
                <w:bCs/>
                <w:color w:val="333333"/>
                <w:lang w:eastAsia="es-MX"/>
              </w:rPr>
              <w:lastRenderedPageBreak/>
              <w:t>Artículo 14. Apelación de sentencias en materia civil y familia</w:t>
            </w:r>
            <w:r w:rsidRPr="00097B81">
              <w:rPr>
                <w:rFonts w:ascii="Arial" w:eastAsia="Times New Roman" w:hAnsi="Arial" w:cs="Arial"/>
                <w:color w:val="333333"/>
                <w:lang w:eastAsia="es-MX"/>
              </w:rPr>
              <w:t>. El recurso de apelación contra sentencia en los procesos civiles y de familia, se tramitará así:</w:t>
            </w:r>
          </w:p>
          <w:p w14:paraId="73F9AD3C"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4C77CCBC"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xml:space="preserve">Sin perjuicio de la facultad oficiosa de decretar pruebas, dentro del término de ejecutoria del auto que admite la apelación, las partes podrán pedir la práctica de pruebas y el juez las </w:t>
            </w:r>
            <w:r w:rsidRPr="00097B81">
              <w:rPr>
                <w:rFonts w:ascii="Arial" w:eastAsia="Times New Roman" w:hAnsi="Arial" w:cs="Arial"/>
                <w:color w:val="333333"/>
                <w:lang w:eastAsia="es-MX"/>
              </w:rPr>
              <w:lastRenderedPageBreak/>
              <w:t>decretará únicamente en los casos señalado en el artículo </w:t>
            </w:r>
            <w:hyperlink r:id="rId21" w:anchor="327" w:history="1">
              <w:r w:rsidRPr="00097B81">
                <w:rPr>
                  <w:rFonts w:ascii="Arial" w:eastAsia="Times New Roman" w:hAnsi="Arial" w:cs="Arial"/>
                  <w:color w:val="0000FF"/>
                  <w:u w:val="single"/>
                  <w:lang w:eastAsia="es-MX"/>
                </w:rPr>
                <w:t>327</w:t>
              </w:r>
            </w:hyperlink>
            <w:r w:rsidRPr="00097B81">
              <w:rPr>
                <w:rFonts w:ascii="Arial" w:eastAsia="Times New Roman" w:hAnsi="Arial" w:cs="Arial"/>
                <w:color w:val="333333"/>
                <w:lang w:eastAsia="es-MX"/>
              </w:rPr>
              <w:t> del Código General del Proceso. El juez se pronunciará dentro de los cinco (5) días siguientes.</w:t>
            </w:r>
          </w:p>
          <w:p w14:paraId="2AF61E8A"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3EFE7098"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Ejecutoriado el auto que admite el recurso o el que niega la solicitud de pruebas, el apelante deberá sustentar el recurso a más tardar dentro de los cinco (5) días siguientes. De la sustentación se correrá traslado a la parte contraria por el término de cinco (5) días. Vencido el término de traslado se proferirá sentencia escrita que se notificará por estado. Si no se sustenta oportunamente el recurso, se declarará desierto.</w:t>
            </w:r>
          </w:p>
          <w:p w14:paraId="4232569A"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2031348E"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Si se decretan pruebas, el juez fijará fecha y hora para la realización de la audiencia en la que se practicaran, se escucharan alegatos y se dictará sentencia. La sentencia se dictará en los términos establecidos en el Código General del Proceso.</w:t>
            </w:r>
          </w:p>
          <w:p w14:paraId="1AB9E090"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6DE50CAC" w14:textId="77777777" w:rsidR="00FD37D4" w:rsidRDefault="00FD37D4" w:rsidP="00484704"/>
        </w:tc>
        <w:tc>
          <w:tcPr>
            <w:tcW w:w="4389" w:type="dxa"/>
          </w:tcPr>
          <w:p w14:paraId="07241B6C" w14:textId="77777777" w:rsidR="00FD37D4" w:rsidRDefault="00FD37D4" w:rsidP="00484704"/>
        </w:tc>
        <w:tc>
          <w:tcPr>
            <w:tcW w:w="4389" w:type="dxa"/>
          </w:tcPr>
          <w:p w14:paraId="0F3CB84F" w14:textId="77777777" w:rsidR="00FD37D4" w:rsidRDefault="00FD37D4" w:rsidP="00484704"/>
        </w:tc>
      </w:tr>
      <w:tr w:rsidR="00FD37D4" w14:paraId="6DE92243" w14:textId="77777777" w:rsidTr="00FD37D4">
        <w:tc>
          <w:tcPr>
            <w:tcW w:w="4389" w:type="dxa"/>
          </w:tcPr>
          <w:p w14:paraId="78499162"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b/>
                <w:bCs/>
                <w:color w:val="333333"/>
                <w:lang w:eastAsia="es-MX"/>
              </w:rPr>
              <w:lastRenderedPageBreak/>
              <w:t>Artículo 15. Apelación en materia laboral</w:t>
            </w:r>
            <w:r w:rsidRPr="00097B81">
              <w:rPr>
                <w:rFonts w:ascii="Arial" w:eastAsia="Times New Roman" w:hAnsi="Arial" w:cs="Arial"/>
                <w:color w:val="333333"/>
                <w:lang w:eastAsia="es-MX"/>
              </w:rPr>
              <w:t>. El recurso de apelación contra las sentencias y autos dictados en materia laboral se tramitará así:  </w:t>
            </w:r>
          </w:p>
          <w:p w14:paraId="395B6426"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021DCFEA"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xml:space="preserve">1. Ejecutoriado el auto que admite la apelación o la consulta, si no se decretan pruebas, se dará traslado a las partes para alegar por escrito por el término de cinco (5) días cada una, iniciando con la apelante. Surtidos los </w:t>
            </w:r>
            <w:r w:rsidRPr="00097B81">
              <w:rPr>
                <w:rFonts w:ascii="Arial" w:eastAsia="Times New Roman" w:hAnsi="Arial" w:cs="Arial"/>
                <w:color w:val="333333"/>
                <w:lang w:eastAsia="es-MX"/>
              </w:rPr>
              <w:lastRenderedPageBreak/>
              <w:t>traslados correspondientes, se proferirá sentencia escrita.</w:t>
            </w:r>
          </w:p>
          <w:p w14:paraId="4CBDE9C5"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2CBE1964"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Si se decretan pruebas, se fijará la fecha de la audiencia para practicar las pruebas a que se refiere el artículo </w:t>
            </w:r>
            <w:hyperlink r:id="rId22" w:anchor="83" w:history="1">
              <w:r w:rsidRPr="00097B81">
                <w:rPr>
                  <w:rFonts w:ascii="Arial" w:eastAsia="Times New Roman" w:hAnsi="Arial" w:cs="Arial"/>
                  <w:color w:val="0000FF"/>
                  <w:u w:val="single"/>
                  <w:lang w:eastAsia="es-MX"/>
                </w:rPr>
                <w:t>83</w:t>
              </w:r>
            </w:hyperlink>
            <w:r w:rsidRPr="00097B81">
              <w:rPr>
                <w:rFonts w:ascii="Arial" w:eastAsia="Times New Roman" w:hAnsi="Arial" w:cs="Arial"/>
                <w:color w:val="333333"/>
                <w:lang w:eastAsia="es-MX"/>
              </w:rPr>
              <w:t> del Código Procesal del Trabajo y de la Seguridad Social. En ella se oirán las alegaciones de las partes y se resolverá la apelación.</w:t>
            </w:r>
          </w:p>
          <w:p w14:paraId="13E0CE3F"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 </w:t>
            </w:r>
          </w:p>
          <w:p w14:paraId="32551437"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color w:val="333333"/>
                <w:lang w:eastAsia="es-MX"/>
              </w:rPr>
              <w:t>2. Cuando se trate de apelación de un auto se dará traslado a las partes para alegar por escrito por el término de cinco (5) días y se resolverá el recurso por escrito.</w:t>
            </w:r>
          </w:p>
          <w:p w14:paraId="28ADD927" w14:textId="77777777" w:rsidR="00FD37D4" w:rsidRDefault="00FD37D4" w:rsidP="00484704"/>
        </w:tc>
        <w:tc>
          <w:tcPr>
            <w:tcW w:w="4389" w:type="dxa"/>
          </w:tcPr>
          <w:p w14:paraId="30707600" w14:textId="77777777" w:rsidR="00FD37D4" w:rsidRDefault="00FD37D4" w:rsidP="00484704"/>
        </w:tc>
        <w:tc>
          <w:tcPr>
            <w:tcW w:w="4389" w:type="dxa"/>
          </w:tcPr>
          <w:p w14:paraId="656BA6C1" w14:textId="77777777" w:rsidR="00FD37D4" w:rsidRDefault="00FD37D4" w:rsidP="00484704"/>
        </w:tc>
      </w:tr>
      <w:tr w:rsidR="00FD37D4" w14:paraId="5B6BDE45" w14:textId="77777777" w:rsidTr="00FD37D4">
        <w:tc>
          <w:tcPr>
            <w:tcW w:w="4389" w:type="dxa"/>
          </w:tcPr>
          <w:p w14:paraId="50AB7D2C" w14:textId="77777777" w:rsidR="00FD37D4" w:rsidRPr="00097B81" w:rsidRDefault="00FD37D4" w:rsidP="00FD37D4">
            <w:pPr>
              <w:jc w:val="both"/>
              <w:rPr>
                <w:rFonts w:ascii="Calibri" w:eastAsia="Times New Roman" w:hAnsi="Calibri" w:cs="Calibri"/>
                <w:color w:val="333333"/>
                <w:sz w:val="22"/>
                <w:szCs w:val="22"/>
                <w:lang w:eastAsia="es-MX"/>
              </w:rPr>
            </w:pPr>
            <w:r w:rsidRPr="00097B81">
              <w:rPr>
                <w:rFonts w:ascii="Arial" w:eastAsia="Times New Roman" w:hAnsi="Arial" w:cs="Arial"/>
                <w:b/>
                <w:bCs/>
                <w:color w:val="333333"/>
                <w:lang w:eastAsia="es-MX"/>
              </w:rPr>
              <w:lastRenderedPageBreak/>
              <w:t>Artículo 16. Vigencia y derogatoria.</w:t>
            </w:r>
            <w:r w:rsidRPr="00097B81">
              <w:rPr>
                <w:rFonts w:ascii="Arial" w:eastAsia="Times New Roman" w:hAnsi="Arial" w:cs="Arial"/>
                <w:color w:val="333333"/>
                <w:lang w:eastAsia="es-MX"/>
              </w:rPr>
              <w:t> El presente decreto legislativo rige a partir de su publicación y estará vigente durante los dos (2) años siguientes a partir de su expedición.</w:t>
            </w:r>
          </w:p>
          <w:p w14:paraId="23D4509D" w14:textId="77777777" w:rsidR="00FD37D4" w:rsidRDefault="00FD37D4" w:rsidP="00484704"/>
        </w:tc>
        <w:tc>
          <w:tcPr>
            <w:tcW w:w="4389" w:type="dxa"/>
          </w:tcPr>
          <w:p w14:paraId="23255CA5" w14:textId="77777777" w:rsidR="00FD37D4" w:rsidRDefault="00FD37D4" w:rsidP="00484704"/>
        </w:tc>
        <w:tc>
          <w:tcPr>
            <w:tcW w:w="4389" w:type="dxa"/>
          </w:tcPr>
          <w:p w14:paraId="6B5FF5F6" w14:textId="77777777" w:rsidR="00FD37D4" w:rsidRDefault="00FD37D4" w:rsidP="00484704"/>
        </w:tc>
      </w:tr>
    </w:tbl>
    <w:p w14:paraId="3698D6D2" w14:textId="2193B184" w:rsidR="00FD37D4" w:rsidRDefault="00FD37D4" w:rsidP="00FD37D4">
      <w:pPr>
        <w:jc w:val="center"/>
        <w:rPr>
          <w:rFonts w:ascii="Arial" w:eastAsia="Times New Roman" w:hAnsi="Arial" w:cs="Arial"/>
          <w:b/>
          <w:bCs/>
          <w:color w:val="333333"/>
          <w:lang w:eastAsia="es-MX"/>
        </w:rPr>
      </w:pPr>
    </w:p>
    <w:p w14:paraId="050D828B" w14:textId="2B94B35C" w:rsidR="00824CA4" w:rsidRPr="00FD37D4" w:rsidRDefault="00824CA4" w:rsidP="00FD37D4">
      <w:pPr>
        <w:jc w:val="both"/>
        <w:rPr>
          <w:rFonts w:ascii="Calibri" w:eastAsia="Times New Roman" w:hAnsi="Calibri" w:cs="Calibri"/>
          <w:color w:val="333333"/>
          <w:sz w:val="22"/>
          <w:szCs w:val="22"/>
          <w:lang w:eastAsia="es-MX"/>
        </w:rPr>
      </w:pPr>
    </w:p>
    <w:sectPr w:rsidR="00824CA4" w:rsidRPr="00FD37D4" w:rsidSect="00FD37D4">
      <w:headerReference w:type="even" r:id="rId23"/>
      <w:headerReference w:type="default" r:id="rId24"/>
      <w:footerReference w:type="even" r:id="rId25"/>
      <w:footerReference w:type="default" r:id="rId26"/>
      <w:headerReference w:type="first" r:id="rId2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028BD" w14:textId="77777777" w:rsidR="00522B4A" w:rsidRDefault="00522B4A" w:rsidP="00FD37D4">
      <w:r>
        <w:separator/>
      </w:r>
    </w:p>
  </w:endnote>
  <w:endnote w:type="continuationSeparator" w:id="0">
    <w:p w14:paraId="41B32B19" w14:textId="77777777" w:rsidR="00522B4A" w:rsidRDefault="00522B4A" w:rsidP="00FD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679542755"/>
      <w:docPartObj>
        <w:docPartGallery w:val="Page Numbers (Bottom of Page)"/>
        <w:docPartUnique/>
      </w:docPartObj>
    </w:sdtPr>
    <w:sdtEndPr>
      <w:rPr>
        <w:rStyle w:val="Nmerodepgina"/>
      </w:rPr>
    </w:sdtEndPr>
    <w:sdtContent>
      <w:p w14:paraId="7868C3F7" w14:textId="4406829C" w:rsidR="00FD37D4" w:rsidRDefault="00FD37D4" w:rsidP="005B552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84B3623" w14:textId="77777777" w:rsidR="00FD37D4" w:rsidRDefault="00FD37D4" w:rsidP="00FD37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235679798"/>
      <w:docPartObj>
        <w:docPartGallery w:val="Page Numbers (Bottom of Page)"/>
        <w:docPartUnique/>
      </w:docPartObj>
    </w:sdtPr>
    <w:sdtEndPr>
      <w:rPr>
        <w:rStyle w:val="Nmerodepgina"/>
      </w:rPr>
    </w:sdtEndPr>
    <w:sdtContent>
      <w:p w14:paraId="1AA2CE20" w14:textId="72FE6A9E" w:rsidR="00FD37D4" w:rsidRDefault="00FD37D4" w:rsidP="005B552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16D29">
          <w:rPr>
            <w:rStyle w:val="Nmerodepgina"/>
            <w:noProof/>
          </w:rPr>
          <w:t>1</w:t>
        </w:r>
        <w:r>
          <w:rPr>
            <w:rStyle w:val="Nmerodepgina"/>
          </w:rPr>
          <w:fldChar w:fldCharType="end"/>
        </w:r>
      </w:p>
    </w:sdtContent>
  </w:sdt>
  <w:p w14:paraId="1C4B9513" w14:textId="77777777" w:rsidR="00FD37D4" w:rsidRDefault="00FD37D4" w:rsidP="00FD37D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B3495" w14:textId="77777777" w:rsidR="00522B4A" w:rsidRDefault="00522B4A" w:rsidP="00FD37D4">
      <w:r>
        <w:separator/>
      </w:r>
    </w:p>
  </w:footnote>
  <w:footnote w:type="continuationSeparator" w:id="0">
    <w:p w14:paraId="39C7BA06" w14:textId="77777777" w:rsidR="00522B4A" w:rsidRDefault="00522B4A" w:rsidP="00FD3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C8AEC" w14:textId="63F41E5C" w:rsidR="00FD37D4" w:rsidRDefault="00522B4A">
    <w:pPr>
      <w:pStyle w:val="Encabezado"/>
    </w:pPr>
    <w:r>
      <w:rPr>
        <w:noProof/>
      </w:rPr>
      <w:pict w14:anchorId="273DA1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35006" o:spid="_x0000_s2051" type="#_x0000_t136" alt="" style="position:absolute;margin-left:0;margin-top:0;width:571.1pt;height:51.9pt;rotation:315;z-index:-251651072;mso-wrap-edited:f;mso-width-percent:0;mso-height-percent:0;mso-position-horizontal:center;mso-position-horizontal-relative:margin;mso-position-vertical:center;mso-position-vertical-relative:margin;mso-width-percent:0;mso-height-percent:0" o:allowincell="f" fillcolor="#cfcdcd [2894]" stroked="f">
          <v:fill opacity="37355f"/>
          <v:textpath style="font-family:&quot;Calibri&quot;;font-size:1pt" string="DOCUMENTO DE TRABAJ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2179F" w14:textId="0061432D" w:rsidR="00FD37D4" w:rsidRPr="00FD37D4" w:rsidRDefault="00522B4A" w:rsidP="00FD37D4">
    <w:pPr>
      <w:pStyle w:val="Encabezado"/>
      <w:jc w:val="center"/>
      <w:rPr>
        <w:b/>
        <w:bCs/>
        <w:i/>
        <w:iCs/>
        <w:lang w:val="es-ES"/>
      </w:rPr>
    </w:pPr>
    <w:r>
      <w:rPr>
        <w:noProof/>
      </w:rPr>
      <w:pict w14:anchorId="2E5AC1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35007" o:spid="_x0000_s2050" type="#_x0000_t136" alt="" style="position:absolute;left:0;text-align:left;margin-left:0;margin-top:0;width:571.1pt;height:51.9pt;rotation:315;z-index:-251646976;mso-wrap-edited:f;mso-width-percent:0;mso-height-percent:0;mso-position-horizontal:center;mso-position-horizontal-relative:margin;mso-position-vertical:center;mso-position-vertical-relative:margin;mso-width-percent:0;mso-height-percent:0" o:allowincell="f" fillcolor="#cfcdcd [2894]" stroked="f">
          <v:fill opacity="37355f"/>
          <v:textpath style="font-family:&quot;Calibri&quot;;font-size:1pt" string="DOCUMENTO DE TRABAJO"/>
          <w10:wrap anchorx="margin" anchory="margin"/>
        </v:shape>
      </w:pict>
    </w:r>
    <w:r w:rsidR="00FD37D4" w:rsidRPr="00FD37D4">
      <w:rPr>
        <w:b/>
        <w:bCs/>
        <w:i/>
        <w:iCs/>
        <w:lang w:val="es-ES"/>
      </w:rPr>
      <w:t>RAMA JUDICIAL</w:t>
    </w:r>
  </w:p>
  <w:p w14:paraId="6B942E0A" w14:textId="046499CB" w:rsidR="00FD37D4" w:rsidRPr="00FD37D4" w:rsidRDefault="00FD37D4" w:rsidP="00FD37D4">
    <w:pPr>
      <w:pStyle w:val="Encabezado"/>
      <w:jc w:val="center"/>
      <w:rPr>
        <w:b/>
        <w:bCs/>
        <w:i/>
        <w:iCs/>
        <w:lang w:val="es-ES"/>
      </w:rPr>
    </w:pPr>
    <w:r w:rsidRPr="00FD37D4">
      <w:rPr>
        <w:b/>
        <w:bCs/>
        <w:i/>
        <w:iCs/>
        <w:lang w:val="es-ES"/>
      </w:rPr>
      <w:t>MESA DE TRABAJO REVISIÓN DEL DECRETO 806 DE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5EFF4" w14:textId="1FFFF260" w:rsidR="00FD37D4" w:rsidRDefault="00522B4A">
    <w:pPr>
      <w:pStyle w:val="Encabezado"/>
    </w:pPr>
    <w:r>
      <w:rPr>
        <w:noProof/>
      </w:rPr>
      <w:pict w14:anchorId="39020F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35005" o:spid="_x0000_s2049" type="#_x0000_t136" alt="" style="position:absolute;margin-left:0;margin-top:0;width:571.1pt;height:51.9pt;rotation:315;z-index:-251655168;mso-wrap-edited:f;mso-width-percent:0;mso-height-percent:0;mso-position-horizontal:center;mso-position-horizontal-relative:margin;mso-position-vertical:center;mso-position-vertical-relative:margin;mso-width-percent:0;mso-height-percent:0" o:allowincell="f" fillcolor="#cfcdcd [2894]" stroked="f">
          <v:fill opacity="37355f"/>
          <v:textpath style="font-family:&quot;Calibri&quot;;font-size:1pt" string="DOCUMENTO DE TRABAJ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D4"/>
    <w:rsid w:val="00056AA4"/>
    <w:rsid w:val="000B5305"/>
    <w:rsid w:val="002256C2"/>
    <w:rsid w:val="00225813"/>
    <w:rsid w:val="002A38FC"/>
    <w:rsid w:val="002D2EF4"/>
    <w:rsid w:val="0032509F"/>
    <w:rsid w:val="003C489D"/>
    <w:rsid w:val="00522B4A"/>
    <w:rsid w:val="00816D29"/>
    <w:rsid w:val="00824CA4"/>
    <w:rsid w:val="00936A6E"/>
    <w:rsid w:val="00A41C7D"/>
    <w:rsid w:val="00C167B4"/>
    <w:rsid w:val="00E03B63"/>
    <w:rsid w:val="00FD37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21E916"/>
  <w15:chartTrackingRefBased/>
  <w15:docId w15:val="{06271F2F-1BEC-3F4C-9B61-986BB5F2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7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D3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FD37D4"/>
    <w:pPr>
      <w:tabs>
        <w:tab w:val="center" w:pos="4419"/>
        <w:tab w:val="right" w:pos="8838"/>
      </w:tabs>
    </w:pPr>
  </w:style>
  <w:style w:type="character" w:customStyle="1" w:styleId="PiedepginaCar">
    <w:name w:val="Pie de página Car"/>
    <w:basedOn w:val="Fuentedeprrafopredeter"/>
    <w:link w:val="Piedepgina"/>
    <w:uiPriority w:val="99"/>
    <w:rsid w:val="00FD37D4"/>
  </w:style>
  <w:style w:type="character" w:styleId="Nmerodepgina">
    <w:name w:val="page number"/>
    <w:basedOn w:val="Fuentedeprrafopredeter"/>
    <w:uiPriority w:val="99"/>
    <w:semiHidden/>
    <w:unhideWhenUsed/>
    <w:rsid w:val="00FD37D4"/>
  </w:style>
  <w:style w:type="paragraph" w:styleId="Encabezado">
    <w:name w:val="header"/>
    <w:basedOn w:val="Normal"/>
    <w:link w:val="EncabezadoCar"/>
    <w:uiPriority w:val="99"/>
    <w:unhideWhenUsed/>
    <w:rsid w:val="00FD37D4"/>
    <w:pPr>
      <w:tabs>
        <w:tab w:val="center" w:pos="4419"/>
        <w:tab w:val="right" w:pos="8838"/>
      </w:tabs>
    </w:pPr>
  </w:style>
  <w:style w:type="character" w:customStyle="1" w:styleId="EncabezadoCar">
    <w:name w:val="Encabezado Car"/>
    <w:basedOn w:val="Fuentedeprrafopredeter"/>
    <w:link w:val="Encabezado"/>
    <w:uiPriority w:val="99"/>
    <w:rsid w:val="00FD3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dt=S&amp;i=48425" TargetMode="External"/><Relationship Id="rId13" Type="http://schemas.openxmlformats.org/officeDocument/2006/relationships/hyperlink" Target="https://www.alcaldiabogota.gov.co/sisjur/normas/Norma1.jsp?dt=S&amp;i=48425" TargetMode="External"/><Relationship Id="rId18" Type="http://schemas.openxmlformats.org/officeDocument/2006/relationships/hyperlink" Target="https://www.alcaldiabogota.gov.co/sisjur/normas/Norma1.jsp?dt=S&amp;i=41249"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alcaldiabogota.gov.co/sisjur/normas/Norma1.jsp?dt=S&amp;i=48425" TargetMode="External"/><Relationship Id="rId7" Type="http://schemas.openxmlformats.org/officeDocument/2006/relationships/hyperlink" Target="https://www.alcaldiabogota.gov.co/sisjur/normas/Norma1.jsp?dt=S&amp;i=48425" TargetMode="External"/><Relationship Id="rId12" Type="http://schemas.openxmlformats.org/officeDocument/2006/relationships/hyperlink" Target="https://www.alcaldiabogota.gov.co/sisjur/normas/Norma1.jsp?dt=S&amp;i=48425" TargetMode="External"/><Relationship Id="rId17" Type="http://schemas.openxmlformats.org/officeDocument/2006/relationships/hyperlink" Target="https://www.alcaldiabogota.gov.co/sisjur/normas/Norma1.jsp?dt=S&amp;i=4842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lcaldiabogota.gov.co/sisjur/normas/Norma1.jsp?dt=S&amp;i=48425" TargetMode="External"/><Relationship Id="rId20" Type="http://schemas.openxmlformats.org/officeDocument/2006/relationships/hyperlink" Target="https://www.alcaldiabogota.gov.co/sisjur/normas/Norma1.jsp?dt=S&amp;i=4124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lcaldiabogota.gov.co/sisjur/normas/Norma1.jsp?dt=S&amp;i=48425"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alcaldiabogota.gov.co/sisjur/normas/Norma1.jsp?dt=S&amp;i=48425"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www.alcaldiabogota.gov.co/sisjur/normas/Norma1.jsp?dt=S&amp;i=48425" TargetMode="External"/><Relationship Id="rId19" Type="http://schemas.openxmlformats.org/officeDocument/2006/relationships/hyperlink" Target="https://www.alcaldiabogota.gov.co/sisjur/normas/Norma1.jsp?dt=S&amp;i=41249" TargetMode="External"/><Relationship Id="rId4" Type="http://schemas.openxmlformats.org/officeDocument/2006/relationships/webSettings" Target="webSettings.xml"/><Relationship Id="rId9" Type="http://schemas.openxmlformats.org/officeDocument/2006/relationships/hyperlink" Target="https://www.alcaldiabogota.gov.co/sisjur/normas/Norma1.jsp?dt=S&amp;i=48425" TargetMode="External"/><Relationship Id="rId14" Type="http://schemas.openxmlformats.org/officeDocument/2006/relationships/hyperlink" Target="https://www.alcaldiabogota.gov.co/sisjur/normas/Norma1.jsp?dt=S&amp;i=48425" TargetMode="External"/><Relationship Id="rId22" Type="http://schemas.openxmlformats.org/officeDocument/2006/relationships/hyperlink" Target="https://www.alcaldiabogota.gov.co/sisjur/normas/Norma1.jsp?dt=S&amp;i=5259" TargetMode="External"/><Relationship Id="rId27"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654D8-66FB-450D-A648-FC83D930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3136</Words>
  <Characters>17253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Zapata B.</dc:creator>
  <cp:keywords/>
  <dc:description/>
  <cp:lastModifiedBy>Usuario de Windows</cp:lastModifiedBy>
  <cp:revision>2</cp:revision>
  <dcterms:created xsi:type="dcterms:W3CDTF">2021-10-12T15:16:00Z</dcterms:created>
  <dcterms:modified xsi:type="dcterms:W3CDTF">2021-10-12T15:16:00Z</dcterms:modified>
</cp:coreProperties>
</file>